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11" w:rsidRDefault="00A63F11" w:rsidP="00A63F11">
      <w:pPr>
        <w:jc w:val="center"/>
        <w:rPr>
          <w:rFonts w:ascii="Tahoma" w:hAnsi="Tahoma" w:cs="Tahoma"/>
          <w:b/>
          <w:sz w:val="28"/>
          <w:szCs w:val="28"/>
        </w:rPr>
      </w:pPr>
      <w:r>
        <w:rPr>
          <w:rFonts w:ascii="Tahoma" w:hAnsi="Tahoma" w:cs="Tahoma"/>
          <w:b/>
          <w:sz w:val="28"/>
          <w:szCs w:val="28"/>
        </w:rPr>
        <w:t>The Trust Structure, R</w:t>
      </w:r>
      <w:r w:rsidRPr="000E54BB">
        <w:rPr>
          <w:rFonts w:ascii="Tahoma" w:hAnsi="Tahoma" w:cs="Tahoma"/>
          <w:b/>
          <w:sz w:val="28"/>
          <w:szCs w:val="28"/>
        </w:rPr>
        <w:t xml:space="preserve">emit and </w:t>
      </w:r>
      <w:r>
        <w:rPr>
          <w:rFonts w:ascii="Tahoma" w:hAnsi="Tahoma" w:cs="Tahoma"/>
          <w:b/>
          <w:sz w:val="28"/>
          <w:szCs w:val="28"/>
        </w:rPr>
        <w:t>C</w:t>
      </w:r>
      <w:r w:rsidRPr="000E54BB">
        <w:rPr>
          <w:rFonts w:ascii="Tahoma" w:hAnsi="Tahoma" w:cs="Tahoma"/>
          <w:b/>
          <w:sz w:val="28"/>
          <w:szCs w:val="28"/>
        </w:rPr>
        <w:t>ommittee groups</w:t>
      </w:r>
    </w:p>
    <w:p w:rsidR="00A63F11" w:rsidRDefault="00A63F11" w:rsidP="00A63F11">
      <w:pPr>
        <w:rPr>
          <w:rFonts w:ascii="Tahoma" w:hAnsi="Tahoma" w:cs="Tahoma"/>
          <w:sz w:val="28"/>
          <w:szCs w:val="28"/>
          <w:u w:val="single"/>
        </w:rPr>
      </w:pPr>
      <w:r w:rsidRPr="000E54BB">
        <w:rPr>
          <w:rFonts w:ascii="Tahoma" w:hAnsi="Tahoma" w:cs="Tahoma"/>
          <w:sz w:val="28"/>
          <w:szCs w:val="28"/>
          <w:u w:val="single"/>
        </w:rPr>
        <w:t>Members</w:t>
      </w:r>
    </w:p>
    <w:p w:rsidR="00A63F11" w:rsidRPr="000C6AB0" w:rsidRDefault="00A63F11" w:rsidP="00A63F11">
      <w:pPr>
        <w:jc w:val="both"/>
        <w:rPr>
          <w:rFonts w:ascii="Tahoma" w:hAnsi="Tahoma" w:cs="Tahoma"/>
          <w:sz w:val="24"/>
          <w:szCs w:val="24"/>
        </w:rPr>
      </w:pPr>
      <w:r w:rsidRPr="000C6AB0">
        <w:rPr>
          <w:rFonts w:ascii="Tahoma" w:hAnsi="Tahoma" w:cs="Tahoma"/>
          <w:sz w:val="24"/>
          <w:szCs w:val="24"/>
        </w:rPr>
        <w:t xml:space="preserve">The Members of the </w:t>
      </w:r>
      <w:proofErr w:type="spellStart"/>
      <w:r w:rsidRPr="000C6AB0">
        <w:rPr>
          <w:rFonts w:ascii="Tahoma" w:hAnsi="Tahoma" w:cs="Tahoma"/>
          <w:sz w:val="24"/>
          <w:szCs w:val="24"/>
        </w:rPr>
        <w:t>Lanesend</w:t>
      </w:r>
      <w:proofErr w:type="spellEnd"/>
      <w:r w:rsidRPr="000C6AB0">
        <w:rPr>
          <w:rFonts w:ascii="Tahoma" w:hAnsi="Tahoma" w:cs="Tahoma"/>
          <w:sz w:val="24"/>
          <w:szCs w:val="24"/>
        </w:rPr>
        <w:t xml:space="preserve"> Academy Trust are the guardians of the governance of the trust. They hold the Trust Board to account for the effective governance of the trust, but have a minimal role in the actual running of the trust. They appoint trustees and may also remove them if they conclude they are failing to carry out their core functions. Members sit at the top of the governance of the trust.</w:t>
      </w:r>
    </w:p>
    <w:p w:rsidR="00A63F11" w:rsidRPr="000E54BB" w:rsidRDefault="00A63F11" w:rsidP="00A63F11">
      <w:pPr>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659264" behindDoc="0" locked="0" layoutInCell="1" allowOverlap="1" wp14:anchorId="676C6C8B" wp14:editId="458D06A8">
                <wp:simplePos x="0" y="0"/>
                <wp:positionH relativeFrom="column">
                  <wp:posOffset>1133475</wp:posOffset>
                </wp:positionH>
                <wp:positionV relativeFrom="paragraph">
                  <wp:posOffset>178435</wp:posOffset>
                </wp:positionV>
                <wp:extent cx="3181350" cy="97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81350" cy="971550"/>
                        </a:xfrm>
                        <a:prstGeom prst="rect">
                          <a:avLst/>
                        </a:prstGeom>
                        <a:solidFill>
                          <a:srgbClr val="5B9BD5"/>
                        </a:solidFill>
                        <a:ln w="12700" cap="flat" cmpd="sng" algn="ctr">
                          <a:solidFill>
                            <a:srgbClr val="5B9BD5">
                              <a:shade val="50000"/>
                            </a:srgbClr>
                          </a:solidFill>
                          <a:prstDash val="solid"/>
                          <a:miter lim="800000"/>
                        </a:ln>
                        <a:effectLst/>
                      </wps:spPr>
                      <wps:txbx>
                        <w:txbxContent>
                          <w:p w:rsidR="00A63F11" w:rsidRPr="00A63F11" w:rsidRDefault="00A63F11" w:rsidP="00A63F11">
                            <w:pPr>
                              <w:jc w:val="center"/>
                              <w:rPr>
                                <w:color w:val="FFFFFF" w:themeColor="background1"/>
                              </w:rPr>
                            </w:pPr>
                            <w:r w:rsidRPr="00A63F11">
                              <w:rPr>
                                <w:color w:val="FFFFFF" w:themeColor="background1"/>
                              </w:rPr>
                              <w:t>Members</w:t>
                            </w:r>
                          </w:p>
                          <w:p w:rsidR="00A63F11" w:rsidRPr="00A63F11" w:rsidRDefault="00A63F11" w:rsidP="00A63F11">
                            <w:pPr>
                              <w:jc w:val="center"/>
                              <w:rPr>
                                <w:color w:val="FFFFFF" w:themeColor="background1"/>
                              </w:rPr>
                            </w:pPr>
                            <w:r w:rsidRPr="00A63F11">
                              <w:rPr>
                                <w:color w:val="FFFFFF" w:themeColor="background1"/>
                              </w:rPr>
                              <w:t>Chair – Kate Palfrey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C6C8B" id="Rectangle 2" o:spid="_x0000_s1026" style="position:absolute;margin-left:89.25pt;margin-top:14.05pt;width:250.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" fillcolor="#5b9bd5" strokecolor="#41719c" strokeweight="1pt">
                <v:textbox>
                  <w:txbxContent>
                    <w:p w:rsidR="00A63F11" w:rsidRPr="00A63F11" w:rsidRDefault="00A63F11" w:rsidP="00A63F11">
                      <w:pPr>
                        <w:jc w:val="center"/>
                        <w:rPr>
                          <w:color w:val="FFFFFF" w:themeColor="background1"/>
                        </w:rPr>
                      </w:pPr>
                      <w:r w:rsidRPr="00A63F11">
                        <w:rPr>
                          <w:color w:val="FFFFFF" w:themeColor="background1"/>
                        </w:rPr>
                        <w:t>Members</w:t>
                      </w:r>
                    </w:p>
                    <w:p w:rsidR="00A63F11" w:rsidRPr="00A63F11" w:rsidRDefault="00A63F11" w:rsidP="00A63F11">
                      <w:pPr>
                        <w:jc w:val="center"/>
                        <w:rPr>
                          <w:color w:val="FFFFFF" w:themeColor="background1"/>
                        </w:rPr>
                      </w:pPr>
                      <w:r w:rsidRPr="00A63F11">
                        <w:rPr>
                          <w:color w:val="FFFFFF" w:themeColor="background1"/>
                        </w:rPr>
                        <w:t>Chair – Kate Palfrey</w:t>
                      </w:r>
                    </w:p>
                  </w:txbxContent>
                </v:textbox>
              </v:rect>
            </w:pict>
          </mc:Fallback>
        </mc:AlternateContent>
      </w: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660288" behindDoc="0" locked="0" layoutInCell="1" allowOverlap="1" wp14:anchorId="4E454607" wp14:editId="529C6311">
                <wp:simplePos x="0" y="0"/>
                <wp:positionH relativeFrom="column">
                  <wp:posOffset>1181100</wp:posOffset>
                </wp:positionH>
                <wp:positionV relativeFrom="paragraph">
                  <wp:posOffset>8255</wp:posOffset>
                </wp:positionV>
                <wp:extent cx="3181350" cy="971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81350" cy="971550"/>
                        </a:xfrm>
                        <a:prstGeom prst="rect">
                          <a:avLst/>
                        </a:prstGeom>
                        <a:solidFill>
                          <a:srgbClr val="5B9BD5"/>
                        </a:solidFill>
                        <a:ln w="12700" cap="flat" cmpd="sng" algn="ctr">
                          <a:solidFill>
                            <a:srgbClr val="5B9BD5">
                              <a:shade val="50000"/>
                            </a:srgbClr>
                          </a:solidFill>
                          <a:prstDash val="solid"/>
                          <a:miter lim="800000"/>
                        </a:ln>
                        <a:effectLst/>
                      </wps:spPr>
                      <wps:txbx>
                        <w:txbxContent>
                          <w:p w:rsidR="00A63F11" w:rsidRPr="0052172D" w:rsidRDefault="00A63F11" w:rsidP="00A63F11">
                            <w:pPr>
                              <w:jc w:val="center"/>
                              <w:rPr>
                                <w:color w:val="FFFFFF" w:themeColor="background1"/>
                              </w:rPr>
                            </w:pPr>
                            <w:r w:rsidRPr="0052172D">
                              <w:rPr>
                                <w:color w:val="FFFFFF" w:themeColor="background1"/>
                              </w:rPr>
                              <w:t>Board of Trustees</w:t>
                            </w:r>
                          </w:p>
                          <w:p w:rsidR="00A63F11" w:rsidRPr="0052172D" w:rsidRDefault="00A63F11" w:rsidP="00A63F11">
                            <w:pPr>
                              <w:jc w:val="center"/>
                              <w:rPr>
                                <w:color w:val="FFFFFF" w:themeColor="background1"/>
                              </w:rPr>
                            </w:pPr>
                            <w:r w:rsidRPr="0052172D">
                              <w:rPr>
                                <w:color w:val="FFFFFF" w:themeColor="background1"/>
                              </w:rPr>
                              <w:t>Chair – Karen Herbert-Duff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54607" id="Rectangle 3" o:spid="_x0000_s1027" style="position:absolute;margin-left:93pt;margin-top:.65pt;width:250.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" fillcolor="#5b9bd5" strokecolor="#41719c" strokeweight="1pt">
                <v:textbox>
                  <w:txbxContent>
                    <w:p w:rsidR="00A63F11" w:rsidRPr="0052172D" w:rsidRDefault="00A63F11" w:rsidP="00A63F11">
                      <w:pPr>
                        <w:jc w:val="center"/>
                        <w:rPr>
                          <w:color w:val="FFFFFF" w:themeColor="background1"/>
                        </w:rPr>
                      </w:pPr>
                      <w:r w:rsidRPr="0052172D">
                        <w:rPr>
                          <w:color w:val="FFFFFF" w:themeColor="background1"/>
                        </w:rPr>
                        <w:t>Board of Trustees</w:t>
                      </w:r>
                    </w:p>
                    <w:p w:rsidR="00A63F11" w:rsidRPr="0052172D" w:rsidRDefault="00A63F11" w:rsidP="00A63F11">
                      <w:pPr>
                        <w:jc w:val="center"/>
                        <w:rPr>
                          <w:color w:val="FFFFFF" w:themeColor="background1"/>
                        </w:rPr>
                      </w:pPr>
                      <w:r w:rsidRPr="0052172D">
                        <w:rPr>
                          <w:color w:val="FFFFFF" w:themeColor="background1"/>
                        </w:rPr>
                        <w:t>Chair – Karen Herbert-Duff</w:t>
                      </w:r>
                    </w:p>
                  </w:txbxContent>
                </v:textbox>
              </v:rect>
            </w:pict>
          </mc:Fallback>
        </mc:AlternateContent>
      </w: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661312" behindDoc="0" locked="0" layoutInCell="1" allowOverlap="1" wp14:anchorId="405AD942" wp14:editId="784D8507">
                <wp:simplePos x="0" y="0"/>
                <wp:positionH relativeFrom="column">
                  <wp:posOffset>-171450</wp:posOffset>
                </wp:positionH>
                <wp:positionV relativeFrom="paragraph">
                  <wp:posOffset>341630</wp:posOffset>
                </wp:positionV>
                <wp:extent cx="1743075" cy="990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43075" cy="990600"/>
                        </a:xfrm>
                        <a:prstGeom prst="rect">
                          <a:avLst/>
                        </a:prstGeom>
                        <a:solidFill>
                          <a:srgbClr val="5B9BD5"/>
                        </a:solidFill>
                        <a:ln w="12700" cap="flat" cmpd="sng" algn="ctr">
                          <a:solidFill>
                            <a:srgbClr val="5B9BD5">
                              <a:shade val="50000"/>
                            </a:srgbClr>
                          </a:solidFill>
                          <a:prstDash val="solid"/>
                          <a:miter lim="800000"/>
                        </a:ln>
                        <a:effectLst/>
                      </wps:spPr>
                      <wps:txbx>
                        <w:txbxContent>
                          <w:p w:rsidR="00A63F11" w:rsidRPr="0052172D" w:rsidRDefault="00A63F11" w:rsidP="00A63F11">
                            <w:pPr>
                              <w:jc w:val="center"/>
                              <w:rPr>
                                <w:color w:val="FFFFFF" w:themeColor="background1"/>
                              </w:rPr>
                            </w:pPr>
                            <w:r w:rsidRPr="0052172D">
                              <w:rPr>
                                <w:color w:val="FFFFFF" w:themeColor="background1"/>
                              </w:rPr>
                              <w:t>Child Centred Committee Group</w:t>
                            </w:r>
                          </w:p>
                          <w:p w:rsidR="00A63F11" w:rsidRPr="0052172D" w:rsidRDefault="00A63F11" w:rsidP="00A63F11">
                            <w:pPr>
                              <w:jc w:val="center"/>
                              <w:rPr>
                                <w:color w:val="FFFFFF" w:themeColor="background1"/>
                              </w:rPr>
                            </w:pPr>
                            <w:r w:rsidRPr="0052172D">
                              <w:rPr>
                                <w:color w:val="FFFFFF" w:themeColor="background1"/>
                              </w:rPr>
                              <w:t>Chair – Jo Hunter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AD942" id="Rectangle 4" o:spid="_x0000_s1029" style="position:absolute;margin-left:-13.5pt;margin-top:26.9pt;width:137.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" fillcolor="#5b9bd5" strokecolor="#41719c" strokeweight="1pt">
                <v:textbox>
                  <w:txbxContent>
                    <w:p w:rsidR="00A63F11" w:rsidRPr="0052172D" w:rsidRDefault="00A63F11" w:rsidP="00A63F11">
                      <w:pPr>
                        <w:jc w:val="center"/>
                        <w:rPr>
                          <w:color w:val="FFFFFF" w:themeColor="background1"/>
                        </w:rPr>
                      </w:pPr>
                      <w:r w:rsidRPr="0052172D">
                        <w:rPr>
                          <w:color w:val="FFFFFF" w:themeColor="background1"/>
                        </w:rPr>
                        <w:t>Child Centred Committee Group</w:t>
                      </w:r>
                    </w:p>
                    <w:p w:rsidR="00A63F11" w:rsidRPr="0052172D" w:rsidRDefault="00A63F11" w:rsidP="00A63F11">
                      <w:pPr>
                        <w:jc w:val="center"/>
                        <w:rPr>
                          <w:color w:val="FFFFFF" w:themeColor="background1"/>
                        </w:rPr>
                      </w:pPr>
                      <w:r w:rsidRPr="0052172D">
                        <w:rPr>
                          <w:color w:val="FFFFFF" w:themeColor="background1"/>
                        </w:rPr>
                        <w:t>Chair – Jo Hunter</w:t>
                      </w:r>
                    </w:p>
                  </w:txbxContent>
                </v:textbox>
              </v:rect>
            </w:pict>
          </mc:Fallback>
        </mc:AlternateContent>
      </w:r>
    </w:p>
    <w:p w:rsidR="00A63F11" w:rsidRDefault="00A63F11" w:rsidP="00A63F11">
      <w:pPr>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663360" behindDoc="0" locked="0" layoutInCell="1" allowOverlap="1" wp14:anchorId="50F54565" wp14:editId="6C74043D">
                <wp:simplePos x="0" y="0"/>
                <wp:positionH relativeFrom="column">
                  <wp:posOffset>1962150</wp:posOffset>
                </wp:positionH>
                <wp:positionV relativeFrom="paragraph">
                  <wp:posOffset>8255</wp:posOffset>
                </wp:positionV>
                <wp:extent cx="1743075" cy="971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43075" cy="971550"/>
                        </a:xfrm>
                        <a:prstGeom prst="rect">
                          <a:avLst/>
                        </a:prstGeom>
                        <a:solidFill>
                          <a:srgbClr val="5B9BD5"/>
                        </a:solidFill>
                        <a:ln w="12700" cap="flat" cmpd="sng" algn="ctr">
                          <a:solidFill>
                            <a:srgbClr val="5B9BD5">
                              <a:shade val="50000"/>
                            </a:srgbClr>
                          </a:solidFill>
                          <a:prstDash val="solid"/>
                          <a:miter lim="800000"/>
                        </a:ln>
                        <a:effectLst/>
                      </wps:spPr>
                      <wps:txbx>
                        <w:txbxContent>
                          <w:p w:rsidR="00A63F11" w:rsidRPr="0052172D" w:rsidRDefault="00A63F11" w:rsidP="00A63F11">
                            <w:pPr>
                              <w:jc w:val="center"/>
                              <w:rPr>
                                <w:color w:val="FFFFFF" w:themeColor="background1"/>
                              </w:rPr>
                            </w:pPr>
                            <w:r w:rsidRPr="0052172D">
                              <w:rPr>
                                <w:color w:val="FFFFFF" w:themeColor="background1"/>
                              </w:rPr>
                              <w:t>Money Commissioning Committee Group</w:t>
                            </w:r>
                          </w:p>
                          <w:p w:rsidR="00A63F11" w:rsidRPr="0052172D" w:rsidRDefault="00A63F11" w:rsidP="00A63F11">
                            <w:pPr>
                              <w:jc w:val="center"/>
                              <w:rPr>
                                <w:color w:val="FFFFFF" w:themeColor="background1"/>
                              </w:rPr>
                            </w:pPr>
                            <w:r w:rsidRPr="0052172D">
                              <w:rPr>
                                <w:color w:val="FFFFFF" w:themeColor="background1"/>
                              </w:rPr>
                              <w:t xml:space="preserve"> Chair – Emma Norton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54565" id="Rectangle 6" o:spid="_x0000_s1030" style="position:absolute;margin-left:154.5pt;margin-top:.65pt;width:137.25pt;height: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" fillcolor="#5b9bd5" strokecolor="#41719c" strokeweight="1pt">
                <v:textbox>
                  <w:txbxContent>
                    <w:p w:rsidR="00A63F11" w:rsidRPr="0052172D" w:rsidRDefault="00A63F11" w:rsidP="00A63F11">
                      <w:pPr>
                        <w:jc w:val="center"/>
                        <w:rPr>
                          <w:color w:val="FFFFFF" w:themeColor="background1"/>
                        </w:rPr>
                      </w:pPr>
                      <w:r w:rsidRPr="0052172D">
                        <w:rPr>
                          <w:color w:val="FFFFFF" w:themeColor="background1"/>
                        </w:rPr>
                        <w:t>Money Commissioning Committee Group</w:t>
                      </w:r>
                    </w:p>
                    <w:p w:rsidR="00A63F11" w:rsidRPr="0052172D" w:rsidRDefault="00A63F11" w:rsidP="00A63F11">
                      <w:pPr>
                        <w:jc w:val="center"/>
                        <w:rPr>
                          <w:color w:val="FFFFFF" w:themeColor="background1"/>
                        </w:rPr>
                      </w:pPr>
                      <w:r w:rsidRPr="0052172D">
                        <w:rPr>
                          <w:color w:val="FFFFFF" w:themeColor="background1"/>
                        </w:rPr>
                        <w:t xml:space="preserve"> Chair – Emma Norton</w:t>
                      </w:r>
                    </w:p>
                  </w:txbxContent>
                </v:textbox>
              </v:rect>
            </w:pict>
          </mc:Fallback>
        </mc:AlternateContent>
      </w:r>
      <w:r>
        <w:rPr>
          <w:rFonts w:ascii="Tahoma" w:hAnsi="Tahoma" w:cs="Tahoma"/>
          <w:noProof/>
          <w:sz w:val="28"/>
          <w:szCs w:val="28"/>
          <w:lang w:eastAsia="en-GB"/>
        </w:rPr>
        <mc:AlternateContent>
          <mc:Choice Requires="wps">
            <w:drawing>
              <wp:anchor distT="0" distB="0" distL="114300" distR="114300" simplePos="0" relativeHeight="251662336" behindDoc="0" locked="0" layoutInCell="1" allowOverlap="1" wp14:anchorId="39D37C1D" wp14:editId="014D4A5E">
                <wp:simplePos x="0" y="0"/>
                <wp:positionH relativeFrom="column">
                  <wp:posOffset>4029075</wp:posOffset>
                </wp:positionH>
                <wp:positionV relativeFrom="paragraph">
                  <wp:posOffset>8255</wp:posOffset>
                </wp:positionV>
                <wp:extent cx="1743075" cy="971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743075" cy="971550"/>
                        </a:xfrm>
                        <a:prstGeom prst="rect">
                          <a:avLst/>
                        </a:prstGeom>
                        <a:solidFill>
                          <a:srgbClr val="5B9BD5"/>
                        </a:solidFill>
                        <a:ln w="12700" cap="flat" cmpd="sng" algn="ctr">
                          <a:solidFill>
                            <a:srgbClr val="5B9BD5">
                              <a:shade val="50000"/>
                            </a:srgbClr>
                          </a:solidFill>
                          <a:prstDash val="solid"/>
                          <a:miter lim="800000"/>
                        </a:ln>
                        <a:effectLst/>
                      </wps:spPr>
                      <wps:txbx>
                        <w:txbxContent>
                          <w:p w:rsidR="00A63F11" w:rsidRPr="0052172D" w:rsidRDefault="00A63F11" w:rsidP="00A63F11">
                            <w:pPr>
                              <w:jc w:val="center"/>
                              <w:rPr>
                                <w:color w:val="FFFFFF" w:themeColor="background1"/>
                              </w:rPr>
                            </w:pPr>
                            <w:r w:rsidRPr="0052172D">
                              <w:rPr>
                                <w:color w:val="FFFFFF" w:themeColor="background1"/>
                              </w:rPr>
                              <w:t>Teaching and Learning Committee Group</w:t>
                            </w:r>
                          </w:p>
                          <w:p w:rsidR="00A63F11" w:rsidRPr="0052172D" w:rsidRDefault="00A63F11" w:rsidP="00A63F11">
                            <w:pPr>
                              <w:jc w:val="center"/>
                              <w:rPr>
                                <w:color w:val="FFFFFF" w:themeColor="background1"/>
                              </w:rPr>
                            </w:pPr>
                            <w:r w:rsidRPr="0052172D">
                              <w:rPr>
                                <w:color w:val="FFFFFF" w:themeColor="background1"/>
                              </w:rPr>
                              <w:t>Chair – Karen Herbert-Duff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D37C1D" id="Rectangle 5" o:spid="_x0000_s1031" style="position:absolute;margin-left:317.25pt;margin-top:.65pt;width:137.25pt;height:7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" fillcolor="#5b9bd5" strokecolor="#41719c" strokeweight="1pt">
                <v:textbox>
                  <w:txbxContent>
                    <w:p w:rsidR="00A63F11" w:rsidRPr="0052172D" w:rsidRDefault="00A63F11" w:rsidP="00A63F11">
                      <w:pPr>
                        <w:jc w:val="center"/>
                        <w:rPr>
                          <w:color w:val="FFFFFF" w:themeColor="background1"/>
                        </w:rPr>
                      </w:pPr>
                      <w:r w:rsidRPr="0052172D">
                        <w:rPr>
                          <w:color w:val="FFFFFF" w:themeColor="background1"/>
                        </w:rPr>
                        <w:t>Teaching and Learning Committee Group</w:t>
                      </w:r>
                    </w:p>
                    <w:p w:rsidR="00A63F11" w:rsidRPr="0052172D" w:rsidRDefault="00A63F11" w:rsidP="00A63F11">
                      <w:pPr>
                        <w:jc w:val="center"/>
                        <w:rPr>
                          <w:color w:val="FFFFFF" w:themeColor="background1"/>
                        </w:rPr>
                      </w:pPr>
                      <w:r w:rsidRPr="0052172D">
                        <w:rPr>
                          <w:color w:val="FFFFFF" w:themeColor="background1"/>
                        </w:rPr>
                        <w:t>Chair – Karen Herbert-Duff</w:t>
                      </w:r>
                    </w:p>
                  </w:txbxContent>
                </v:textbox>
              </v:rect>
            </w:pict>
          </mc:Fallback>
        </mc:AlternateContent>
      </w: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rPr>
      </w:pPr>
    </w:p>
    <w:p w:rsidR="00A63F11" w:rsidRDefault="00A63F11" w:rsidP="00A63F11">
      <w:pPr>
        <w:rPr>
          <w:rFonts w:ascii="Tahoma" w:hAnsi="Tahoma" w:cs="Tahoma"/>
          <w:sz w:val="28"/>
          <w:szCs w:val="28"/>
          <w:u w:val="single"/>
        </w:rPr>
      </w:pPr>
      <w:r w:rsidRPr="000C6AB0">
        <w:rPr>
          <w:rFonts w:ascii="Tahoma" w:hAnsi="Tahoma" w:cs="Tahoma"/>
          <w:sz w:val="28"/>
          <w:szCs w:val="28"/>
          <w:u w:val="single"/>
        </w:rPr>
        <w:t>Board of Trustees</w:t>
      </w:r>
    </w:p>
    <w:p w:rsidR="00A63F11" w:rsidRDefault="00A63F11" w:rsidP="00A63F11">
      <w:pPr>
        <w:rPr>
          <w:rFonts w:ascii="Tahoma" w:hAnsi="Tahoma" w:cs="Tahoma"/>
          <w:sz w:val="24"/>
          <w:szCs w:val="24"/>
        </w:rPr>
      </w:pPr>
      <w:r>
        <w:rPr>
          <w:rFonts w:ascii="Tahoma" w:hAnsi="Tahoma" w:cs="Tahoma"/>
          <w:sz w:val="24"/>
          <w:szCs w:val="24"/>
        </w:rPr>
        <w:t>The Board of Trustees has three core functions:</w:t>
      </w:r>
    </w:p>
    <w:p w:rsidR="00A63F11" w:rsidRPr="000C6AB0" w:rsidRDefault="00A63F11" w:rsidP="00A63F11">
      <w:pPr>
        <w:numPr>
          <w:ilvl w:val="0"/>
          <w:numId w:val="1"/>
        </w:numPr>
        <w:autoSpaceDE w:val="0"/>
        <w:autoSpaceDN w:val="0"/>
        <w:adjustRightInd w:val="0"/>
        <w:spacing w:after="0" w:line="276" w:lineRule="auto"/>
        <w:ind w:left="360" w:right="-427"/>
        <w:contextualSpacing/>
        <w:jc w:val="both"/>
        <w:rPr>
          <w:rFonts w:ascii="Tahoma" w:hAnsi="Tahoma" w:cs="Tahoma"/>
          <w:sz w:val="24"/>
          <w:szCs w:val="24"/>
        </w:rPr>
      </w:pPr>
      <w:r w:rsidRPr="000C6AB0">
        <w:rPr>
          <w:rFonts w:ascii="Tahoma" w:hAnsi="Tahoma" w:cs="Tahoma"/>
          <w:sz w:val="24"/>
          <w:szCs w:val="24"/>
        </w:rPr>
        <w:t>Ensuring clarity of vision, ethos and strategic direction;</w:t>
      </w:r>
    </w:p>
    <w:p w:rsidR="00A63F11" w:rsidRPr="000C6AB0" w:rsidRDefault="00A63F11" w:rsidP="00A63F11">
      <w:pPr>
        <w:numPr>
          <w:ilvl w:val="0"/>
          <w:numId w:val="1"/>
        </w:numPr>
        <w:autoSpaceDE w:val="0"/>
        <w:autoSpaceDN w:val="0"/>
        <w:adjustRightInd w:val="0"/>
        <w:spacing w:after="0" w:line="276" w:lineRule="auto"/>
        <w:ind w:left="360" w:right="-427"/>
        <w:contextualSpacing/>
        <w:jc w:val="both"/>
        <w:rPr>
          <w:rFonts w:ascii="Tahoma" w:hAnsi="Tahoma" w:cs="Tahoma"/>
          <w:sz w:val="24"/>
          <w:szCs w:val="24"/>
        </w:rPr>
      </w:pPr>
      <w:r w:rsidRPr="000C6AB0">
        <w:rPr>
          <w:rFonts w:ascii="Tahoma" w:hAnsi="Tahoma" w:cs="Tahoma"/>
          <w:sz w:val="24"/>
          <w:szCs w:val="24"/>
        </w:rPr>
        <w:t>Holding the Head</w:t>
      </w:r>
      <w:r w:rsidR="006D5F4C">
        <w:rPr>
          <w:rFonts w:ascii="Tahoma" w:hAnsi="Tahoma" w:cs="Tahoma"/>
          <w:sz w:val="24"/>
          <w:szCs w:val="24"/>
        </w:rPr>
        <w:t xml:space="preserve"> </w:t>
      </w:r>
      <w:r w:rsidRPr="000C6AB0">
        <w:rPr>
          <w:rFonts w:ascii="Tahoma" w:hAnsi="Tahoma" w:cs="Tahoma"/>
          <w:sz w:val="24"/>
          <w:szCs w:val="24"/>
        </w:rPr>
        <w:t xml:space="preserve">teacher to account for the educational performance of the school </w:t>
      </w:r>
      <w:r>
        <w:rPr>
          <w:rFonts w:ascii="Tahoma" w:hAnsi="Tahoma" w:cs="Tahoma"/>
          <w:sz w:val="24"/>
          <w:szCs w:val="24"/>
        </w:rPr>
        <w:t xml:space="preserve">   </w:t>
      </w:r>
      <w:r w:rsidR="00667FFA">
        <w:rPr>
          <w:rFonts w:ascii="Tahoma" w:hAnsi="Tahoma" w:cs="Tahoma"/>
          <w:sz w:val="24"/>
          <w:szCs w:val="24"/>
        </w:rPr>
        <w:t>and its pupils,</w:t>
      </w:r>
      <w:r w:rsidRPr="000C6AB0">
        <w:rPr>
          <w:rFonts w:ascii="Tahoma" w:hAnsi="Tahoma" w:cs="Tahoma"/>
          <w:sz w:val="24"/>
          <w:szCs w:val="24"/>
        </w:rPr>
        <w:t xml:space="preserve"> and</w:t>
      </w:r>
      <w:r w:rsidR="00667FFA">
        <w:rPr>
          <w:rFonts w:ascii="Tahoma" w:hAnsi="Tahoma" w:cs="Tahoma"/>
          <w:sz w:val="24"/>
          <w:szCs w:val="24"/>
        </w:rPr>
        <w:t xml:space="preserve"> the performance management of staff;</w:t>
      </w:r>
    </w:p>
    <w:p w:rsidR="00A63F11" w:rsidRDefault="00A63F11" w:rsidP="00A63F11">
      <w:pPr>
        <w:numPr>
          <w:ilvl w:val="0"/>
          <w:numId w:val="1"/>
        </w:numPr>
        <w:autoSpaceDE w:val="0"/>
        <w:autoSpaceDN w:val="0"/>
        <w:adjustRightInd w:val="0"/>
        <w:spacing w:after="0" w:line="276" w:lineRule="auto"/>
        <w:ind w:left="360" w:right="-427"/>
        <w:contextualSpacing/>
        <w:jc w:val="both"/>
        <w:rPr>
          <w:rFonts w:ascii="Tahoma" w:hAnsi="Tahoma" w:cs="Tahoma"/>
          <w:sz w:val="24"/>
          <w:szCs w:val="24"/>
        </w:rPr>
      </w:pPr>
      <w:r w:rsidRPr="000C6AB0">
        <w:rPr>
          <w:rFonts w:ascii="Tahoma" w:hAnsi="Tahoma" w:cs="Tahoma"/>
          <w:sz w:val="24"/>
          <w:szCs w:val="24"/>
        </w:rPr>
        <w:t xml:space="preserve">Overseeing the financial performance of the school and making sure </w:t>
      </w:r>
      <w:r w:rsidR="00667FFA">
        <w:rPr>
          <w:rFonts w:ascii="Tahoma" w:hAnsi="Tahoma" w:cs="Tahoma"/>
          <w:sz w:val="24"/>
          <w:szCs w:val="24"/>
        </w:rPr>
        <w:t>that its money is well spent, including the pupil premium.</w:t>
      </w:r>
    </w:p>
    <w:p w:rsidR="00A63F11" w:rsidRDefault="00A63F11" w:rsidP="00A63F11">
      <w:pPr>
        <w:autoSpaceDE w:val="0"/>
        <w:autoSpaceDN w:val="0"/>
        <w:adjustRightInd w:val="0"/>
        <w:spacing w:after="0" w:line="276" w:lineRule="auto"/>
        <w:ind w:right="-427"/>
        <w:contextualSpacing/>
        <w:jc w:val="both"/>
        <w:rPr>
          <w:rFonts w:ascii="Tahoma" w:hAnsi="Tahoma" w:cs="Tahoma"/>
          <w:sz w:val="24"/>
          <w:szCs w:val="24"/>
        </w:rPr>
      </w:pPr>
    </w:p>
    <w:p w:rsidR="00A63F11" w:rsidRPr="000C6AB0" w:rsidRDefault="00A63F11" w:rsidP="00A63F11">
      <w:pPr>
        <w:autoSpaceDE w:val="0"/>
        <w:autoSpaceDN w:val="0"/>
        <w:adjustRightInd w:val="0"/>
        <w:spacing w:after="0" w:line="276" w:lineRule="auto"/>
        <w:ind w:right="-427"/>
        <w:contextualSpacing/>
        <w:jc w:val="both"/>
        <w:rPr>
          <w:rFonts w:ascii="Tahoma" w:hAnsi="Tahoma" w:cs="Tahoma"/>
          <w:sz w:val="24"/>
          <w:szCs w:val="24"/>
        </w:rPr>
      </w:pPr>
      <w:r>
        <w:rPr>
          <w:rFonts w:ascii="Tahoma" w:hAnsi="Tahoma" w:cs="Tahoma"/>
          <w:sz w:val="24"/>
          <w:szCs w:val="24"/>
        </w:rPr>
        <w:t>The Board of Trustees regularly meets as a full board but much of the groundwork for recommendations and decisions is carried out in smaller Committee Groups.</w:t>
      </w:r>
    </w:p>
    <w:p w:rsidR="002B603F" w:rsidRDefault="002B603F" w:rsidP="00A63F11">
      <w:pPr>
        <w:autoSpaceDE w:val="0"/>
        <w:autoSpaceDN w:val="0"/>
        <w:adjustRightInd w:val="0"/>
        <w:spacing w:after="0" w:line="276" w:lineRule="auto"/>
        <w:ind w:right="-427"/>
        <w:contextualSpacing/>
        <w:jc w:val="both"/>
        <w:rPr>
          <w:rFonts w:ascii="Tahoma" w:hAnsi="Tahoma" w:cs="Tahoma"/>
          <w:sz w:val="28"/>
          <w:szCs w:val="28"/>
          <w:u w:val="single"/>
        </w:rPr>
      </w:pPr>
    </w:p>
    <w:p w:rsidR="002B603F" w:rsidRDefault="002B603F" w:rsidP="00A63F11">
      <w:pPr>
        <w:autoSpaceDE w:val="0"/>
        <w:autoSpaceDN w:val="0"/>
        <w:adjustRightInd w:val="0"/>
        <w:spacing w:after="0" w:line="276" w:lineRule="auto"/>
        <w:ind w:right="-427"/>
        <w:contextualSpacing/>
        <w:jc w:val="both"/>
        <w:rPr>
          <w:rFonts w:ascii="Tahoma" w:hAnsi="Tahoma" w:cs="Tahoma"/>
          <w:sz w:val="28"/>
          <w:szCs w:val="28"/>
          <w:u w:val="single"/>
        </w:rPr>
      </w:pPr>
    </w:p>
    <w:p w:rsidR="00A63F11" w:rsidRDefault="00A63F11" w:rsidP="00A63F11">
      <w:pPr>
        <w:autoSpaceDE w:val="0"/>
        <w:autoSpaceDN w:val="0"/>
        <w:adjustRightInd w:val="0"/>
        <w:spacing w:after="0" w:line="276" w:lineRule="auto"/>
        <w:ind w:right="-427"/>
        <w:contextualSpacing/>
        <w:jc w:val="both"/>
        <w:rPr>
          <w:rFonts w:ascii="Tahoma" w:hAnsi="Tahoma" w:cs="Tahoma"/>
          <w:sz w:val="28"/>
          <w:szCs w:val="28"/>
          <w:u w:val="single"/>
        </w:rPr>
      </w:pPr>
      <w:r w:rsidRPr="000C6AB0">
        <w:rPr>
          <w:rFonts w:ascii="Tahoma" w:hAnsi="Tahoma" w:cs="Tahoma"/>
          <w:sz w:val="28"/>
          <w:szCs w:val="28"/>
          <w:u w:val="single"/>
        </w:rPr>
        <w:lastRenderedPageBreak/>
        <w:t>Committee Groups</w:t>
      </w:r>
    </w:p>
    <w:p w:rsidR="00A63F11" w:rsidRDefault="00A63F11" w:rsidP="00A63F11">
      <w:pPr>
        <w:autoSpaceDE w:val="0"/>
        <w:autoSpaceDN w:val="0"/>
        <w:adjustRightInd w:val="0"/>
        <w:spacing w:after="0" w:line="276" w:lineRule="auto"/>
        <w:ind w:right="-427"/>
        <w:contextualSpacing/>
        <w:jc w:val="both"/>
        <w:rPr>
          <w:rFonts w:ascii="Tahoma" w:hAnsi="Tahoma" w:cs="Tahoma"/>
          <w:sz w:val="28"/>
          <w:szCs w:val="28"/>
          <w:u w:val="single"/>
        </w:rPr>
      </w:pPr>
    </w:p>
    <w:p w:rsidR="00A63F11" w:rsidRDefault="00A63F11" w:rsidP="00A63F11">
      <w:pPr>
        <w:autoSpaceDE w:val="0"/>
        <w:autoSpaceDN w:val="0"/>
        <w:adjustRightInd w:val="0"/>
        <w:spacing w:after="0" w:line="276" w:lineRule="auto"/>
        <w:ind w:right="-427"/>
        <w:contextualSpacing/>
        <w:jc w:val="both"/>
        <w:rPr>
          <w:rFonts w:ascii="Tahoma" w:hAnsi="Tahoma" w:cs="Tahoma"/>
          <w:sz w:val="28"/>
          <w:szCs w:val="28"/>
        </w:rPr>
      </w:pPr>
      <w:r w:rsidRPr="000C6AB0">
        <w:rPr>
          <w:rFonts w:ascii="Tahoma" w:hAnsi="Tahoma" w:cs="Tahoma"/>
          <w:sz w:val="28"/>
          <w:szCs w:val="28"/>
        </w:rPr>
        <w:t>Child-centre</w:t>
      </w:r>
      <w:r>
        <w:rPr>
          <w:rFonts w:ascii="Tahoma" w:hAnsi="Tahoma" w:cs="Tahoma"/>
          <w:sz w:val="28"/>
          <w:szCs w:val="28"/>
        </w:rPr>
        <w:t>d</w:t>
      </w:r>
      <w:r w:rsidRPr="000C6AB0">
        <w:rPr>
          <w:rFonts w:ascii="Tahoma" w:hAnsi="Tahoma" w:cs="Tahoma"/>
          <w:sz w:val="28"/>
          <w:szCs w:val="28"/>
        </w:rPr>
        <w:t xml:space="preserve"> Group</w:t>
      </w:r>
    </w:p>
    <w:p w:rsidR="00A63F11" w:rsidRDefault="00A63F11" w:rsidP="00A63F11">
      <w:pPr>
        <w:autoSpaceDE w:val="0"/>
        <w:autoSpaceDN w:val="0"/>
        <w:adjustRightInd w:val="0"/>
        <w:spacing w:after="0" w:line="276" w:lineRule="auto"/>
        <w:ind w:right="-427"/>
        <w:contextualSpacing/>
        <w:jc w:val="both"/>
        <w:rPr>
          <w:rFonts w:ascii="Tahoma" w:hAnsi="Tahoma" w:cs="Tahoma"/>
          <w:sz w:val="24"/>
          <w:szCs w:val="24"/>
        </w:rPr>
      </w:pPr>
      <w:r w:rsidRPr="000C6AB0">
        <w:rPr>
          <w:rFonts w:ascii="Tahoma" w:hAnsi="Tahoma" w:cs="Tahoma"/>
          <w:sz w:val="24"/>
          <w:szCs w:val="24"/>
        </w:rPr>
        <w:t>The Child Cen</w:t>
      </w:r>
      <w:r>
        <w:rPr>
          <w:rFonts w:ascii="Tahoma" w:hAnsi="Tahoma" w:cs="Tahoma"/>
          <w:sz w:val="24"/>
          <w:szCs w:val="24"/>
        </w:rPr>
        <w:t>t</w:t>
      </w:r>
      <w:r w:rsidRPr="000C6AB0">
        <w:rPr>
          <w:rFonts w:ascii="Tahoma" w:hAnsi="Tahoma" w:cs="Tahoma"/>
          <w:sz w:val="24"/>
          <w:szCs w:val="24"/>
        </w:rPr>
        <w:t xml:space="preserve">red Group </w:t>
      </w:r>
      <w:r>
        <w:rPr>
          <w:rFonts w:ascii="Tahoma" w:hAnsi="Tahoma" w:cs="Tahoma"/>
          <w:sz w:val="24"/>
          <w:szCs w:val="24"/>
        </w:rPr>
        <w:t xml:space="preserve">particularly </w:t>
      </w:r>
      <w:r w:rsidRPr="000C6AB0">
        <w:rPr>
          <w:rFonts w:ascii="Tahoma" w:hAnsi="Tahoma" w:cs="Tahoma"/>
          <w:sz w:val="24"/>
          <w:szCs w:val="24"/>
        </w:rPr>
        <w:t>considers matters</w:t>
      </w:r>
      <w:r>
        <w:rPr>
          <w:rFonts w:ascii="Tahoma" w:hAnsi="Tahoma" w:cs="Tahoma"/>
          <w:sz w:val="24"/>
          <w:szCs w:val="24"/>
        </w:rPr>
        <w:t xml:space="preserve"> relating to:</w:t>
      </w:r>
    </w:p>
    <w:p w:rsidR="00A63F11" w:rsidRPr="00504144" w:rsidRDefault="00A63F11" w:rsidP="00A63F11">
      <w:pPr>
        <w:pStyle w:val="ListParagraph"/>
        <w:numPr>
          <w:ilvl w:val="0"/>
          <w:numId w:val="2"/>
        </w:numPr>
        <w:autoSpaceDE w:val="0"/>
        <w:autoSpaceDN w:val="0"/>
        <w:adjustRightInd w:val="0"/>
        <w:spacing w:after="0" w:line="276" w:lineRule="auto"/>
        <w:ind w:right="-427"/>
        <w:jc w:val="both"/>
        <w:rPr>
          <w:rFonts w:ascii="Tahoma" w:hAnsi="Tahoma" w:cs="Tahoma"/>
          <w:sz w:val="24"/>
          <w:szCs w:val="24"/>
        </w:rPr>
      </w:pPr>
      <w:r w:rsidRPr="00504144">
        <w:rPr>
          <w:rFonts w:ascii="Tahoma" w:hAnsi="Tahoma" w:cs="Tahoma"/>
          <w:sz w:val="24"/>
          <w:szCs w:val="24"/>
        </w:rPr>
        <w:t>Safeguarding and Child Protection</w:t>
      </w:r>
    </w:p>
    <w:p w:rsidR="00A63F11" w:rsidRPr="00504144" w:rsidRDefault="00667FFA" w:rsidP="00A63F11">
      <w:pPr>
        <w:pStyle w:val="ListParagraph"/>
        <w:numPr>
          <w:ilvl w:val="0"/>
          <w:numId w:val="2"/>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 xml:space="preserve">Equality and Inclusion </w:t>
      </w:r>
    </w:p>
    <w:p w:rsidR="00A63F11" w:rsidRPr="00504144" w:rsidRDefault="00A63F11" w:rsidP="00A63F11">
      <w:pPr>
        <w:pStyle w:val="ListParagraph"/>
        <w:numPr>
          <w:ilvl w:val="0"/>
          <w:numId w:val="2"/>
        </w:numPr>
        <w:autoSpaceDE w:val="0"/>
        <w:autoSpaceDN w:val="0"/>
        <w:adjustRightInd w:val="0"/>
        <w:spacing w:after="0" w:line="276" w:lineRule="auto"/>
        <w:ind w:right="-427"/>
        <w:jc w:val="both"/>
        <w:rPr>
          <w:rFonts w:ascii="Tahoma" w:hAnsi="Tahoma" w:cs="Tahoma"/>
          <w:sz w:val="24"/>
          <w:szCs w:val="24"/>
        </w:rPr>
      </w:pPr>
      <w:r w:rsidRPr="00504144">
        <w:rPr>
          <w:rFonts w:ascii="Tahoma" w:hAnsi="Tahoma" w:cs="Tahoma"/>
          <w:sz w:val="24"/>
          <w:szCs w:val="24"/>
        </w:rPr>
        <w:t>Attendance</w:t>
      </w:r>
    </w:p>
    <w:p w:rsidR="00A63F11" w:rsidRDefault="00667FFA" w:rsidP="00A63F11">
      <w:pPr>
        <w:pStyle w:val="ListParagraph"/>
        <w:numPr>
          <w:ilvl w:val="0"/>
          <w:numId w:val="2"/>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Behaviour and Attitudes</w:t>
      </w:r>
    </w:p>
    <w:p w:rsidR="00A63F11" w:rsidRDefault="00A63F11" w:rsidP="00A63F11">
      <w:pPr>
        <w:autoSpaceDE w:val="0"/>
        <w:autoSpaceDN w:val="0"/>
        <w:adjustRightInd w:val="0"/>
        <w:spacing w:after="0" w:line="276" w:lineRule="auto"/>
        <w:ind w:right="-427"/>
        <w:contextualSpacing/>
        <w:jc w:val="both"/>
        <w:rPr>
          <w:rFonts w:ascii="Tahoma" w:hAnsi="Tahoma" w:cs="Tahoma"/>
          <w:sz w:val="24"/>
          <w:szCs w:val="24"/>
        </w:rPr>
      </w:pPr>
    </w:p>
    <w:p w:rsidR="00A63F11" w:rsidRDefault="00A63F11" w:rsidP="00A63F11">
      <w:pPr>
        <w:autoSpaceDE w:val="0"/>
        <w:autoSpaceDN w:val="0"/>
        <w:adjustRightInd w:val="0"/>
        <w:spacing w:after="0" w:line="276" w:lineRule="auto"/>
        <w:ind w:right="-427"/>
        <w:contextualSpacing/>
        <w:jc w:val="both"/>
        <w:rPr>
          <w:rFonts w:ascii="Tahoma" w:hAnsi="Tahoma" w:cs="Tahoma"/>
          <w:sz w:val="28"/>
          <w:szCs w:val="28"/>
        </w:rPr>
      </w:pPr>
      <w:r>
        <w:rPr>
          <w:rFonts w:ascii="Tahoma" w:hAnsi="Tahoma" w:cs="Tahoma"/>
          <w:sz w:val="28"/>
          <w:szCs w:val="28"/>
        </w:rPr>
        <w:t xml:space="preserve">Money </w:t>
      </w:r>
      <w:r w:rsidR="006D5F4C">
        <w:rPr>
          <w:rFonts w:ascii="Tahoma" w:hAnsi="Tahoma" w:cs="Tahoma"/>
          <w:sz w:val="28"/>
          <w:szCs w:val="28"/>
        </w:rPr>
        <w:t xml:space="preserve">and </w:t>
      </w:r>
      <w:r>
        <w:rPr>
          <w:rFonts w:ascii="Tahoma" w:hAnsi="Tahoma" w:cs="Tahoma"/>
          <w:sz w:val="28"/>
          <w:szCs w:val="28"/>
        </w:rPr>
        <w:t>Commissioning Group</w:t>
      </w:r>
    </w:p>
    <w:p w:rsidR="00A63F11" w:rsidRPr="00504144" w:rsidRDefault="00A63F11" w:rsidP="00A63F11">
      <w:pPr>
        <w:autoSpaceDE w:val="0"/>
        <w:autoSpaceDN w:val="0"/>
        <w:adjustRightInd w:val="0"/>
        <w:spacing w:after="0" w:line="276" w:lineRule="auto"/>
        <w:ind w:right="-427"/>
        <w:contextualSpacing/>
        <w:jc w:val="both"/>
        <w:rPr>
          <w:rFonts w:ascii="Tahoma" w:hAnsi="Tahoma" w:cs="Tahoma"/>
          <w:sz w:val="24"/>
          <w:szCs w:val="24"/>
        </w:rPr>
      </w:pPr>
      <w:r>
        <w:rPr>
          <w:rFonts w:ascii="Tahoma" w:hAnsi="Tahoma" w:cs="Tahoma"/>
          <w:sz w:val="24"/>
          <w:szCs w:val="24"/>
        </w:rPr>
        <w:t>The Money Commissioning Group mainly focuses on:</w:t>
      </w:r>
    </w:p>
    <w:p w:rsidR="00A63F11" w:rsidRPr="00504144" w:rsidRDefault="00A63F11" w:rsidP="00A63F11">
      <w:pPr>
        <w:pStyle w:val="ListParagraph"/>
        <w:numPr>
          <w:ilvl w:val="0"/>
          <w:numId w:val="3"/>
        </w:numPr>
        <w:autoSpaceDE w:val="0"/>
        <w:autoSpaceDN w:val="0"/>
        <w:adjustRightInd w:val="0"/>
        <w:spacing w:after="0" w:line="276" w:lineRule="auto"/>
        <w:ind w:right="-427"/>
        <w:jc w:val="both"/>
        <w:rPr>
          <w:rFonts w:ascii="Tahoma" w:hAnsi="Tahoma" w:cs="Tahoma"/>
          <w:sz w:val="24"/>
          <w:szCs w:val="24"/>
        </w:rPr>
      </w:pPr>
      <w:r w:rsidRPr="00504144">
        <w:rPr>
          <w:rFonts w:ascii="Tahoma" w:hAnsi="Tahoma" w:cs="Tahoma"/>
          <w:sz w:val="24"/>
          <w:szCs w:val="24"/>
        </w:rPr>
        <w:t>Finance</w:t>
      </w:r>
      <w:r w:rsidR="00667FFA">
        <w:rPr>
          <w:rFonts w:ascii="Tahoma" w:hAnsi="Tahoma" w:cs="Tahoma"/>
          <w:sz w:val="24"/>
          <w:szCs w:val="24"/>
        </w:rPr>
        <w:t xml:space="preserve"> and Budget setting </w:t>
      </w:r>
      <w:bookmarkStart w:id="0" w:name="_GoBack"/>
      <w:bookmarkEnd w:id="0"/>
    </w:p>
    <w:p w:rsidR="00A63F11" w:rsidRPr="00504144" w:rsidRDefault="00A63F11" w:rsidP="00A63F11">
      <w:pPr>
        <w:pStyle w:val="ListParagraph"/>
        <w:numPr>
          <w:ilvl w:val="0"/>
          <w:numId w:val="3"/>
        </w:numPr>
        <w:autoSpaceDE w:val="0"/>
        <w:autoSpaceDN w:val="0"/>
        <w:adjustRightInd w:val="0"/>
        <w:spacing w:after="0" w:line="276" w:lineRule="auto"/>
        <w:ind w:right="-427"/>
        <w:jc w:val="both"/>
        <w:rPr>
          <w:rFonts w:ascii="Tahoma" w:hAnsi="Tahoma" w:cs="Tahoma"/>
          <w:sz w:val="24"/>
          <w:szCs w:val="24"/>
        </w:rPr>
      </w:pPr>
      <w:r w:rsidRPr="00504144">
        <w:rPr>
          <w:rFonts w:ascii="Tahoma" w:hAnsi="Tahoma" w:cs="Tahoma"/>
          <w:sz w:val="24"/>
          <w:szCs w:val="24"/>
        </w:rPr>
        <w:t>Freedom of Information and Data Protection</w:t>
      </w:r>
    </w:p>
    <w:p w:rsidR="00A63F11" w:rsidRPr="00504144" w:rsidRDefault="00A63F11" w:rsidP="00A63F11">
      <w:pPr>
        <w:pStyle w:val="ListParagraph"/>
        <w:numPr>
          <w:ilvl w:val="0"/>
          <w:numId w:val="3"/>
        </w:numPr>
        <w:autoSpaceDE w:val="0"/>
        <w:autoSpaceDN w:val="0"/>
        <w:adjustRightInd w:val="0"/>
        <w:spacing w:after="0" w:line="276" w:lineRule="auto"/>
        <w:ind w:right="-427"/>
        <w:jc w:val="both"/>
        <w:rPr>
          <w:rFonts w:ascii="Tahoma" w:hAnsi="Tahoma" w:cs="Tahoma"/>
          <w:sz w:val="24"/>
          <w:szCs w:val="24"/>
        </w:rPr>
      </w:pPr>
      <w:r w:rsidRPr="00504144">
        <w:rPr>
          <w:rFonts w:ascii="Tahoma" w:hAnsi="Tahoma" w:cs="Tahoma"/>
          <w:sz w:val="24"/>
          <w:szCs w:val="24"/>
        </w:rPr>
        <w:t>Health and Safety</w:t>
      </w:r>
    </w:p>
    <w:p w:rsidR="00A63F11" w:rsidRPr="00504144" w:rsidRDefault="00667FFA" w:rsidP="00A63F11">
      <w:pPr>
        <w:pStyle w:val="ListParagraph"/>
        <w:numPr>
          <w:ilvl w:val="0"/>
          <w:numId w:val="3"/>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 xml:space="preserve">Security, </w:t>
      </w:r>
      <w:r w:rsidR="00A63F11">
        <w:rPr>
          <w:rFonts w:ascii="Tahoma" w:hAnsi="Tahoma" w:cs="Tahoma"/>
          <w:sz w:val="24"/>
          <w:szCs w:val="24"/>
        </w:rPr>
        <w:t xml:space="preserve">Estate </w:t>
      </w:r>
      <w:r w:rsidR="00A63F11" w:rsidRPr="00504144">
        <w:rPr>
          <w:rFonts w:ascii="Tahoma" w:hAnsi="Tahoma" w:cs="Tahoma"/>
          <w:sz w:val="24"/>
          <w:szCs w:val="24"/>
        </w:rPr>
        <w:t>Management</w:t>
      </w:r>
      <w:r>
        <w:rPr>
          <w:rFonts w:ascii="Tahoma" w:hAnsi="Tahoma" w:cs="Tahoma"/>
          <w:sz w:val="24"/>
          <w:szCs w:val="24"/>
        </w:rPr>
        <w:t xml:space="preserve"> and Risk Assessment</w:t>
      </w:r>
    </w:p>
    <w:p w:rsidR="00A63F11" w:rsidRPr="00504144" w:rsidRDefault="00A63F11" w:rsidP="00A63F11">
      <w:pPr>
        <w:pStyle w:val="ListParagraph"/>
        <w:numPr>
          <w:ilvl w:val="0"/>
          <w:numId w:val="3"/>
        </w:numPr>
        <w:autoSpaceDE w:val="0"/>
        <w:autoSpaceDN w:val="0"/>
        <w:adjustRightInd w:val="0"/>
        <w:spacing w:after="0" w:line="276" w:lineRule="auto"/>
        <w:ind w:right="-427"/>
        <w:jc w:val="both"/>
        <w:rPr>
          <w:rFonts w:ascii="Tahoma" w:hAnsi="Tahoma" w:cs="Tahoma"/>
          <w:sz w:val="24"/>
          <w:szCs w:val="24"/>
        </w:rPr>
      </w:pPr>
      <w:r w:rsidRPr="00504144">
        <w:rPr>
          <w:rFonts w:ascii="Tahoma" w:hAnsi="Tahoma" w:cs="Tahoma"/>
          <w:sz w:val="24"/>
          <w:szCs w:val="24"/>
        </w:rPr>
        <w:t>Staff employment and related matters</w:t>
      </w:r>
    </w:p>
    <w:p w:rsidR="00A63F11" w:rsidRDefault="00A63F11" w:rsidP="00A63F11">
      <w:pPr>
        <w:pStyle w:val="ListParagraph"/>
        <w:numPr>
          <w:ilvl w:val="0"/>
          <w:numId w:val="3"/>
        </w:numPr>
        <w:autoSpaceDE w:val="0"/>
        <w:autoSpaceDN w:val="0"/>
        <w:adjustRightInd w:val="0"/>
        <w:spacing w:after="0" w:line="276" w:lineRule="auto"/>
        <w:ind w:right="-427"/>
        <w:jc w:val="both"/>
        <w:rPr>
          <w:rFonts w:ascii="Tahoma" w:hAnsi="Tahoma" w:cs="Tahoma"/>
          <w:sz w:val="24"/>
          <w:szCs w:val="24"/>
        </w:rPr>
      </w:pPr>
      <w:r w:rsidRPr="00504144">
        <w:rPr>
          <w:rFonts w:ascii="Tahoma" w:hAnsi="Tahoma" w:cs="Tahoma"/>
          <w:sz w:val="24"/>
          <w:szCs w:val="24"/>
        </w:rPr>
        <w:t xml:space="preserve">Admissions </w:t>
      </w:r>
    </w:p>
    <w:p w:rsidR="00A63F11" w:rsidRDefault="00A63F11" w:rsidP="00A63F11">
      <w:pPr>
        <w:autoSpaceDE w:val="0"/>
        <w:autoSpaceDN w:val="0"/>
        <w:adjustRightInd w:val="0"/>
        <w:spacing w:after="0" w:line="276" w:lineRule="auto"/>
        <w:ind w:right="-427"/>
        <w:jc w:val="both"/>
        <w:rPr>
          <w:rFonts w:ascii="Tahoma" w:hAnsi="Tahoma" w:cs="Tahoma"/>
          <w:sz w:val="24"/>
          <w:szCs w:val="24"/>
        </w:rPr>
      </w:pPr>
    </w:p>
    <w:p w:rsidR="00A63F11" w:rsidRDefault="00A63F11" w:rsidP="00A63F11">
      <w:pPr>
        <w:autoSpaceDE w:val="0"/>
        <w:autoSpaceDN w:val="0"/>
        <w:adjustRightInd w:val="0"/>
        <w:spacing w:after="0" w:line="276" w:lineRule="auto"/>
        <w:ind w:right="-427"/>
        <w:jc w:val="both"/>
        <w:rPr>
          <w:rFonts w:ascii="Tahoma" w:hAnsi="Tahoma" w:cs="Tahoma"/>
          <w:sz w:val="28"/>
          <w:szCs w:val="28"/>
        </w:rPr>
      </w:pPr>
      <w:r w:rsidRPr="00504144">
        <w:rPr>
          <w:rFonts w:ascii="Tahoma" w:hAnsi="Tahoma" w:cs="Tahoma"/>
          <w:sz w:val="28"/>
          <w:szCs w:val="28"/>
        </w:rPr>
        <w:t>Teaching and Learning Group</w:t>
      </w:r>
    </w:p>
    <w:p w:rsidR="00A63F11" w:rsidRDefault="00A63F11" w:rsidP="00A63F11">
      <w:p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The Teaching and Learning Group chiefly concentrates on:</w:t>
      </w:r>
    </w:p>
    <w:p w:rsidR="00A63F11" w:rsidRDefault="00A63F11" w:rsidP="00A63F11">
      <w:pPr>
        <w:pStyle w:val="ListParagraph"/>
        <w:numPr>
          <w:ilvl w:val="0"/>
          <w:numId w:val="4"/>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Parent/home/school matters</w:t>
      </w:r>
    </w:p>
    <w:p w:rsidR="00A63F11" w:rsidRDefault="00A63F11" w:rsidP="00A63F11">
      <w:pPr>
        <w:pStyle w:val="ListParagraph"/>
        <w:numPr>
          <w:ilvl w:val="0"/>
          <w:numId w:val="4"/>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Early Years Foundation Stage</w:t>
      </w:r>
    </w:p>
    <w:p w:rsidR="00A63F11" w:rsidRDefault="00A63F11" w:rsidP="00A63F11">
      <w:pPr>
        <w:pStyle w:val="ListParagraph"/>
        <w:numPr>
          <w:ilvl w:val="0"/>
          <w:numId w:val="4"/>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The Curriculum</w:t>
      </w:r>
    </w:p>
    <w:p w:rsidR="00A63F11" w:rsidRDefault="00A63F11" w:rsidP="00A63F11">
      <w:pPr>
        <w:pStyle w:val="ListParagraph"/>
        <w:numPr>
          <w:ilvl w:val="0"/>
          <w:numId w:val="4"/>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 xml:space="preserve">Quality of Teaching and Learning </w:t>
      </w:r>
    </w:p>
    <w:p w:rsidR="00A63F11" w:rsidRDefault="00A63F11" w:rsidP="00A63F11">
      <w:pPr>
        <w:pStyle w:val="ListParagraph"/>
        <w:numPr>
          <w:ilvl w:val="0"/>
          <w:numId w:val="4"/>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 xml:space="preserve">Assessment and Standards </w:t>
      </w:r>
    </w:p>
    <w:p w:rsidR="00667FFA" w:rsidRDefault="00667FFA" w:rsidP="00A63F11">
      <w:pPr>
        <w:pStyle w:val="ListParagraph"/>
        <w:numPr>
          <w:ilvl w:val="0"/>
          <w:numId w:val="4"/>
        </w:num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Personal Development</w:t>
      </w:r>
    </w:p>
    <w:p w:rsidR="00A63F11" w:rsidRDefault="00A63F11" w:rsidP="00A63F11">
      <w:pPr>
        <w:autoSpaceDE w:val="0"/>
        <w:autoSpaceDN w:val="0"/>
        <w:adjustRightInd w:val="0"/>
        <w:spacing w:after="0" w:line="276" w:lineRule="auto"/>
        <w:ind w:right="-427"/>
        <w:jc w:val="both"/>
        <w:rPr>
          <w:rFonts w:ascii="Tahoma" w:hAnsi="Tahoma" w:cs="Tahoma"/>
          <w:sz w:val="24"/>
          <w:szCs w:val="24"/>
        </w:rPr>
      </w:pPr>
    </w:p>
    <w:p w:rsidR="00A63F11" w:rsidRDefault="00A63F11" w:rsidP="00A63F11">
      <w:pPr>
        <w:autoSpaceDE w:val="0"/>
        <w:autoSpaceDN w:val="0"/>
        <w:adjustRightInd w:val="0"/>
        <w:spacing w:after="0" w:line="276" w:lineRule="auto"/>
        <w:ind w:right="-427"/>
        <w:jc w:val="both"/>
        <w:rPr>
          <w:rFonts w:ascii="Tahoma" w:hAnsi="Tahoma" w:cs="Tahoma"/>
          <w:sz w:val="24"/>
          <w:szCs w:val="24"/>
        </w:rPr>
      </w:pPr>
    </w:p>
    <w:p w:rsidR="00A63F11" w:rsidRPr="0052172D" w:rsidRDefault="00A63F11" w:rsidP="00A63F11">
      <w:pPr>
        <w:autoSpaceDE w:val="0"/>
        <w:autoSpaceDN w:val="0"/>
        <w:adjustRightInd w:val="0"/>
        <w:spacing w:after="0" w:line="276" w:lineRule="auto"/>
        <w:ind w:right="-427"/>
        <w:jc w:val="both"/>
        <w:rPr>
          <w:rFonts w:ascii="Tahoma" w:hAnsi="Tahoma" w:cs="Tahoma"/>
          <w:sz w:val="24"/>
          <w:szCs w:val="24"/>
        </w:rPr>
      </w:pPr>
      <w:r>
        <w:rPr>
          <w:rFonts w:ascii="Tahoma" w:hAnsi="Tahoma" w:cs="Tahoma"/>
          <w:sz w:val="24"/>
          <w:szCs w:val="24"/>
        </w:rPr>
        <w:t>The Scheme of Management Delegation sets out the levels of decision making for the Trust within the above structure.</w:t>
      </w:r>
    </w:p>
    <w:p w:rsidR="00A63F11" w:rsidRPr="00504144" w:rsidRDefault="00A63F11" w:rsidP="00A63F11">
      <w:pPr>
        <w:autoSpaceDE w:val="0"/>
        <w:autoSpaceDN w:val="0"/>
        <w:adjustRightInd w:val="0"/>
        <w:spacing w:after="0" w:line="276" w:lineRule="auto"/>
        <w:ind w:right="-427"/>
        <w:jc w:val="both"/>
        <w:rPr>
          <w:rFonts w:ascii="Tahoma" w:hAnsi="Tahoma" w:cs="Tahoma"/>
          <w:sz w:val="24"/>
          <w:szCs w:val="24"/>
        </w:rPr>
      </w:pPr>
    </w:p>
    <w:p w:rsidR="00A63F11" w:rsidRPr="000C6AB0" w:rsidRDefault="00A63F11" w:rsidP="00A63F11">
      <w:pPr>
        <w:rPr>
          <w:rFonts w:ascii="Tahoma" w:hAnsi="Tahoma" w:cs="Tahoma"/>
          <w:sz w:val="24"/>
          <w:szCs w:val="24"/>
        </w:rPr>
      </w:pPr>
    </w:p>
    <w:p w:rsidR="00A63F11" w:rsidRPr="000E54BB" w:rsidRDefault="00A63F11" w:rsidP="00A63F11">
      <w:pPr>
        <w:rPr>
          <w:rFonts w:ascii="Tahoma" w:hAnsi="Tahoma" w:cs="Tahoma"/>
          <w:sz w:val="28"/>
          <w:szCs w:val="28"/>
        </w:rPr>
      </w:pPr>
    </w:p>
    <w:p w:rsidR="003233FD" w:rsidRDefault="003233FD"/>
    <w:sectPr w:rsidR="003233FD" w:rsidSect="0078165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1122"/>
    <w:multiLevelType w:val="hybridMultilevel"/>
    <w:tmpl w:val="F4F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42C07"/>
    <w:multiLevelType w:val="hybridMultilevel"/>
    <w:tmpl w:val="6F4E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B5C72"/>
    <w:multiLevelType w:val="hybridMultilevel"/>
    <w:tmpl w:val="B77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74135"/>
    <w:multiLevelType w:val="hybridMultilevel"/>
    <w:tmpl w:val="AC5E2CF8"/>
    <w:lvl w:ilvl="0" w:tplc="0809000F">
      <w:start w:val="1"/>
      <w:numFmt w:val="decimal"/>
      <w:lvlText w:val="%1."/>
      <w:lvlJc w:val="left"/>
      <w:pPr>
        <w:ind w:left="1724" w:hanging="360"/>
      </w:pPr>
      <w:rPr>
        <w:rFonts w:hint="default"/>
        <w:color w:val="365F91"/>
        <w:sz w:val="32"/>
        <w:szCs w:val="32"/>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9C"/>
    <w:rsid w:val="002B603F"/>
    <w:rsid w:val="003233FD"/>
    <w:rsid w:val="00667FFA"/>
    <w:rsid w:val="006D5F4C"/>
    <w:rsid w:val="00A63F11"/>
    <w:rsid w:val="00B9009C"/>
    <w:rsid w:val="00C0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A4553-9240-4CFC-9F23-110DDCD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Henshaw</dc:creator>
  <cp:keywords/>
  <dc:description/>
  <cp:lastModifiedBy>Margaret Henshaw</cp:lastModifiedBy>
  <cp:revision>2</cp:revision>
  <dcterms:created xsi:type="dcterms:W3CDTF">2019-09-25T09:12:00Z</dcterms:created>
  <dcterms:modified xsi:type="dcterms:W3CDTF">2019-09-25T09:12:00Z</dcterms:modified>
</cp:coreProperties>
</file>